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B1" w:rsidRPr="00FE1FB1" w:rsidRDefault="00FE1FB1" w:rsidP="0075749E">
      <w:pPr>
        <w:ind w:left="3686" w:hanging="567"/>
        <w:jc w:val="right"/>
        <w:rPr>
          <w:sz w:val="28"/>
          <w:szCs w:val="28"/>
        </w:rPr>
      </w:pPr>
      <w:r w:rsidRPr="00FE1FB1">
        <w:rPr>
          <w:sz w:val="28"/>
          <w:szCs w:val="28"/>
        </w:rPr>
        <w:t>Утвержден</w:t>
      </w:r>
      <w:r w:rsidR="0075749E">
        <w:rPr>
          <w:sz w:val="28"/>
          <w:szCs w:val="28"/>
        </w:rPr>
        <w:t xml:space="preserve"> </w:t>
      </w:r>
      <w:r w:rsidRPr="00FE1FB1">
        <w:rPr>
          <w:sz w:val="28"/>
          <w:szCs w:val="28"/>
        </w:rPr>
        <w:t>совместным приказом</w:t>
      </w:r>
    </w:p>
    <w:p w:rsidR="00DA4F68" w:rsidRDefault="00DA4F68" w:rsidP="00FE1FB1">
      <w:pPr>
        <w:ind w:left="5245"/>
        <w:jc w:val="center"/>
        <w:rPr>
          <w:rFonts w:eastAsia="Consolas"/>
          <w:color w:val="auto"/>
          <w:sz w:val="28"/>
          <w:szCs w:val="28"/>
          <w:lang w:eastAsia="en-US"/>
        </w:rPr>
      </w:pPr>
    </w:p>
    <w:p w:rsidR="00DA4F68" w:rsidRDefault="00DA4F68" w:rsidP="00FE1FB1">
      <w:pPr>
        <w:ind w:left="5245"/>
        <w:jc w:val="center"/>
        <w:rPr>
          <w:rFonts w:eastAsia="Consolas"/>
          <w:color w:val="auto"/>
          <w:sz w:val="28"/>
          <w:szCs w:val="28"/>
          <w:lang w:eastAsia="en-US"/>
        </w:rPr>
      </w:pPr>
    </w:p>
    <w:p w:rsidR="00FE1FB1" w:rsidRPr="009273D3" w:rsidRDefault="00FE1FB1" w:rsidP="00FE1FB1">
      <w:pPr>
        <w:ind w:left="5245"/>
        <w:jc w:val="center"/>
        <w:rPr>
          <w:rFonts w:eastAsia="Consolas"/>
          <w:b/>
          <w:color w:val="auto"/>
          <w:sz w:val="28"/>
          <w:szCs w:val="28"/>
          <w:lang w:eastAsia="en-US"/>
        </w:rPr>
      </w:pPr>
    </w:p>
    <w:p w:rsidR="009273D3" w:rsidRPr="009273D3" w:rsidRDefault="00FE1FB1" w:rsidP="009273D3">
      <w:pPr>
        <w:ind w:left="851"/>
        <w:jc w:val="center"/>
        <w:rPr>
          <w:b/>
          <w:sz w:val="28"/>
          <w:szCs w:val="28"/>
        </w:rPr>
      </w:pPr>
      <w:r w:rsidRPr="009273D3">
        <w:rPr>
          <w:b/>
          <w:sz w:val="28"/>
        </w:rPr>
        <w:t xml:space="preserve">Перечень </w:t>
      </w:r>
      <w:r w:rsidR="002B71F5" w:rsidRPr="009273D3">
        <w:rPr>
          <w:b/>
          <w:sz w:val="28"/>
        </w:rPr>
        <w:t>услуг</w:t>
      </w:r>
      <w:r w:rsidRPr="009273D3">
        <w:rPr>
          <w:b/>
          <w:sz w:val="28"/>
        </w:rPr>
        <w:t>, технологически связанных с регулируем</w:t>
      </w:r>
      <w:r w:rsidR="006B0545" w:rsidRPr="009273D3">
        <w:rPr>
          <w:b/>
          <w:sz w:val="28"/>
        </w:rPr>
        <w:t>ыми</w:t>
      </w:r>
      <w:r w:rsidRPr="009273D3">
        <w:rPr>
          <w:b/>
          <w:sz w:val="28"/>
        </w:rPr>
        <w:t xml:space="preserve"> </w:t>
      </w:r>
      <w:r w:rsidRPr="009273D3">
        <w:rPr>
          <w:b/>
          <w:sz w:val="28"/>
          <w:szCs w:val="28"/>
        </w:rPr>
        <w:t>услуг</w:t>
      </w:r>
      <w:r w:rsidR="006B0545" w:rsidRPr="009273D3">
        <w:rPr>
          <w:b/>
          <w:sz w:val="28"/>
          <w:szCs w:val="28"/>
        </w:rPr>
        <w:t xml:space="preserve">ами </w:t>
      </w:r>
      <w:r w:rsidR="009273D3" w:rsidRPr="009273D3">
        <w:rPr>
          <w:b/>
          <w:spacing w:val="2"/>
          <w:sz w:val="28"/>
          <w:szCs w:val="28"/>
        </w:rPr>
        <w:t>субъектов естественных монополий</w:t>
      </w:r>
    </w:p>
    <w:p w:rsidR="00FE1FB1" w:rsidRDefault="00FE1FB1" w:rsidP="008A14EB">
      <w:pPr>
        <w:ind w:left="5670"/>
        <w:jc w:val="center"/>
        <w:rPr>
          <w:rFonts w:eastAsia="Consolas"/>
          <w:color w:val="auto"/>
          <w:sz w:val="28"/>
          <w:szCs w:val="28"/>
          <w:lang w:eastAsia="en-US"/>
        </w:rPr>
      </w:pPr>
    </w:p>
    <w:p w:rsidR="009273D3" w:rsidRDefault="009273D3" w:rsidP="009273D3">
      <w:pPr>
        <w:ind w:left="5670"/>
        <w:jc w:val="center"/>
        <w:rPr>
          <w:rFonts w:eastAsia="Consolas"/>
          <w:color w:val="auto"/>
          <w:sz w:val="28"/>
          <w:szCs w:val="28"/>
          <w:lang w:eastAsia="en-US"/>
        </w:rPr>
      </w:pPr>
    </w:p>
    <w:p w:rsidR="009273D3" w:rsidRPr="00F12AD9" w:rsidRDefault="009273D3" w:rsidP="009273D3">
      <w:pPr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1. В сфере водоснабжения:</w:t>
      </w:r>
    </w:p>
    <w:p w:rsidR="009273D3" w:rsidRDefault="009273D3" w:rsidP="009273D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установка приборов учета;</w:t>
      </w:r>
    </w:p>
    <w:p w:rsidR="009273D3" w:rsidRDefault="009273D3" w:rsidP="009273D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подключение к сетям водоснабжения;</w:t>
      </w:r>
    </w:p>
    <w:p w:rsidR="009273D3" w:rsidRPr="003B5A0D" w:rsidRDefault="009273D3" w:rsidP="009273D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опломбировка приборов учета.</w:t>
      </w:r>
    </w:p>
    <w:p w:rsidR="009273D3" w:rsidRPr="00F12AD9" w:rsidRDefault="009273D3" w:rsidP="009273D3">
      <w:pPr>
        <w:ind w:firstLine="708"/>
        <w:jc w:val="both"/>
        <w:rPr>
          <w:sz w:val="28"/>
          <w:szCs w:val="28"/>
        </w:rPr>
      </w:pPr>
      <w:r w:rsidRPr="00F12AD9">
        <w:rPr>
          <w:sz w:val="28"/>
          <w:szCs w:val="28"/>
        </w:rPr>
        <w:t>2. В сфере водоотведения:</w:t>
      </w:r>
    </w:p>
    <w:p w:rsidR="009273D3" w:rsidRDefault="009273D3" w:rsidP="009273D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установка приборов учета;</w:t>
      </w:r>
    </w:p>
    <w:p w:rsidR="009273D3" w:rsidRDefault="009273D3" w:rsidP="009273D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подключение к сетям водоотведения.</w:t>
      </w:r>
    </w:p>
    <w:p w:rsidR="006B0545" w:rsidRPr="0075749E" w:rsidRDefault="003926F8" w:rsidP="006B05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9273D3">
        <w:rPr>
          <w:sz w:val="28"/>
          <w:szCs w:val="28"/>
          <w:lang w:val="kk-KZ"/>
        </w:rPr>
        <w:t xml:space="preserve">. </w:t>
      </w:r>
      <w:r w:rsidR="006B0545" w:rsidRPr="0075749E">
        <w:rPr>
          <w:sz w:val="28"/>
          <w:szCs w:val="28"/>
        </w:rPr>
        <w:t>В сфере электроэнергетики:</w:t>
      </w:r>
    </w:p>
    <w:p w:rsidR="006B0545" w:rsidRPr="00920B7C" w:rsidRDefault="006B0545" w:rsidP="006B054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1)</w:t>
      </w:r>
      <w:r w:rsidRPr="004B2BF6">
        <w:rPr>
          <w:sz w:val="28"/>
          <w:szCs w:val="28"/>
        </w:rPr>
        <w:t xml:space="preserve"> </w:t>
      </w:r>
      <w:r w:rsidR="009B5259">
        <w:rPr>
          <w:sz w:val="28"/>
          <w:szCs w:val="28"/>
        </w:rPr>
        <w:t>установка приборов учета</w:t>
      </w:r>
      <w:r w:rsidRPr="004B2BF6">
        <w:rPr>
          <w:sz w:val="28"/>
          <w:szCs w:val="28"/>
        </w:rPr>
        <w:t>;</w:t>
      </w:r>
    </w:p>
    <w:p w:rsidR="006B0545" w:rsidRPr="004B2BF6" w:rsidRDefault="006B0545" w:rsidP="006B0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4B2BF6">
        <w:rPr>
          <w:sz w:val="28"/>
          <w:szCs w:val="28"/>
        </w:rPr>
        <w:t>одключение к электрическим сетям;</w:t>
      </w:r>
    </w:p>
    <w:p w:rsidR="006B0545" w:rsidRDefault="006B0545" w:rsidP="006B0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B2BF6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опломбировка приборов учета.</w:t>
      </w:r>
    </w:p>
    <w:p w:rsidR="006B0545" w:rsidRPr="0075749E" w:rsidRDefault="003926F8" w:rsidP="006B05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="006B0545" w:rsidRPr="0075749E">
        <w:rPr>
          <w:sz w:val="28"/>
          <w:szCs w:val="28"/>
        </w:rPr>
        <w:t>. В сфере теплоэнергетики:</w:t>
      </w:r>
    </w:p>
    <w:p w:rsidR="009B5259" w:rsidRPr="00920B7C" w:rsidRDefault="006B0545" w:rsidP="009B525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9B5259">
        <w:rPr>
          <w:sz w:val="28"/>
          <w:szCs w:val="28"/>
        </w:rPr>
        <w:t>установка приборов учета</w:t>
      </w:r>
      <w:r w:rsidR="009B5259" w:rsidRPr="004B2BF6">
        <w:rPr>
          <w:sz w:val="28"/>
          <w:szCs w:val="28"/>
        </w:rPr>
        <w:t>;</w:t>
      </w:r>
    </w:p>
    <w:p w:rsidR="006B0545" w:rsidRPr="004B2BF6" w:rsidRDefault="006B0545" w:rsidP="006B0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4B2BF6">
        <w:rPr>
          <w:sz w:val="28"/>
          <w:szCs w:val="28"/>
        </w:rPr>
        <w:t xml:space="preserve">одключение к </w:t>
      </w:r>
      <w:r>
        <w:rPr>
          <w:sz w:val="28"/>
          <w:szCs w:val="28"/>
        </w:rPr>
        <w:t xml:space="preserve">тепловым </w:t>
      </w:r>
      <w:r w:rsidRPr="004B2BF6">
        <w:rPr>
          <w:sz w:val="28"/>
          <w:szCs w:val="28"/>
        </w:rPr>
        <w:t>сетям;</w:t>
      </w:r>
    </w:p>
    <w:p w:rsidR="006B0545" w:rsidRDefault="006B0545" w:rsidP="006B0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опломбировка приборов учета.</w:t>
      </w:r>
    </w:p>
    <w:p w:rsidR="006B0545" w:rsidRPr="0075749E" w:rsidRDefault="003926F8" w:rsidP="006B0545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5</w:t>
      </w:r>
      <w:bookmarkStart w:id="0" w:name="_GoBack"/>
      <w:bookmarkEnd w:id="0"/>
      <w:r w:rsidR="006B0545" w:rsidRPr="0075749E">
        <w:rPr>
          <w:sz w:val="28"/>
          <w:szCs w:val="28"/>
        </w:rPr>
        <w:t xml:space="preserve">. В сфере </w:t>
      </w:r>
      <w:r w:rsidR="006B0545" w:rsidRPr="0075749E">
        <w:rPr>
          <w:sz w:val="28"/>
        </w:rPr>
        <w:t>хранения, транспортировки товарного газа по соединительным, магистральным газопроводам и (или) газораспределительным системам, эксплуатации групповых резервуарных установок, а также транспортировки сырого газа по соединительным газопроводам, за исключением хранения, транспортировки товарного газа в целях транзита через территорию Республики Казахстан и экспорта за пределы Республики Казахстан</w:t>
      </w:r>
    </w:p>
    <w:p w:rsidR="0075749E" w:rsidRDefault="006B0545" w:rsidP="0075749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9B5259">
        <w:rPr>
          <w:sz w:val="28"/>
          <w:szCs w:val="28"/>
        </w:rPr>
        <w:t>установка приборов учета</w:t>
      </w:r>
      <w:r w:rsidR="009B5259" w:rsidRPr="004B2BF6">
        <w:rPr>
          <w:sz w:val="28"/>
          <w:szCs w:val="28"/>
        </w:rPr>
        <w:t>;</w:t>
      </w:r>
    </w:p>
    <w:p w:rsidR="006B0545" w:rsidRPr="0075749E" w:rsidRDefault="0075749E" w:rsidP="0075749E">
      <w:pPr>
        <w:ind w:firstLine="709"/>
        <w:jc w:val="both"/>
        <w:rPr>
          <w:rStyle w:val="s0"/>
          <w:b/>
          <w:sz w:val="28"/>
          <w:szCs w:val="28"/>
        </w:rPr>
      </w:pPr>
      <w:r w:rsidRPr="0075749E">
        <w:rPr>
          <w:sz w:val="28"/>
          <w:szCs w:val="28"/>
        </w:rPr>
        <w:t>2)</w:t>
      </w:r>
      <w:r>
        <w:rPr>
          <w:rStyle w:val="s0"/>
          <w:sz w:val="28"/>
          <w:szCs w:val="28"/>
        </w:rPr>
        <w:t xml:space="preserve"> подключение</w:t>
      </w:r>
      <w:r w:rsidR="006B0545">
        <w:rPr>
          <w:rStyle w:val="s0"/>
          <w:sz w:val="28"/>
          <w:szCs w:val="28"/>
        </w:rPr>
        <w:t xml:space="preserve"> к действующей газораспределительной системе (технологическое присоединение и первичный пуск газа);</w:t>
      </w:r>
    </w:p>
    <w:p w:rsidR="00FE1FB1" w:rsidRDefault="006B0545" w:rsidP="00D25671">
      <w:pPr>
        <w:ind w:firstLine="708"/>
        <w:jc w:val="both"/>
        <w:rPr>
          <w:rFonts w:eastAsia="Consolas"/>
          <w:color w:val="auto"/>
          <w:sz w:val="28"/>
          <w:szCs w:val="28"/>
          <w:lang w:eastAsia="en-US"/>
        </w:rPr>
      </w:pPr>
      <w:r>
        <w:rPr>
          <w:rStyle w:val="s0"/>
          <w:sz w:val="28"/>
          <w:szCs w:val="28"/>
        </w:rPr>
        <w:t>3) о</w:t>
      </w:r>
      <w:r w:rsidRPr="005E0F8A">
        <w:rPr>
          <w:rStyle w:val="s0"/>
          <w:sz w:val="28"/>
          <w:szCs w:val="28"/>
        </w:rPr>
        <w:t>пломбировка приборов учета.</w:t>
      </w:r>
    </w:p>
    <w:sectPr w:rsidR="00FE1FB1" w:rsidSect="001B0BF6">
      <w:headerReference w:type="default" r:id="rId7"/>
      <w:headerReference w:type="first" r:id="rId8"/>
      <w:pgSz w:w="11906" w:h="16838"/>
      <w:pgMar w:top="1134" w:right="849" w:bottom="56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7B8" w:rsidRDefault="002807B8" w:rsidP="00775B8B">
      <w:r>
        <w:separator/>
      </w:r>
    </w:p>
  </w:endnote>
  <w:endnote w:type="continuationSeparator" w:id="0">
    <w:p w:rsidR="002807B8" w:rsidRDefault="002807B8" w:rsidP="0077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Zan Courier New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7B8" w:rsidRDefault="002807B8" w:rsidP="00775B8B">
      <w:r>
        <w:separator/>
      </w:r>
    </w:p>
  </w:footnote>
  <w:footnote w:type="continuationSeparator" w:id="0">
    <w:p w:rsidR="002807B8" w:rsidRDefault="002807B8" w:rsidP="00775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8B" w:rsidRPr="00F22F64" w:rsidRDefault="00775B8B">
    <w:pPr>
      <w:pStyle w:val="a6"/>
      <w:jc w:val="center"/>
      <w:rPr>
        <w:color w:val="auto"/>
        <w:sz w:val="24"/>
        <w:szCs w:val="24"/>
      </w:rPr>
    </w:pPr>
    <w:r w:rsidRPr="00F22F64">
      <w:rPr>
        <w:color w:val="auto"/>
        <w:sz w:val="24"/>
        <w:szCs w:val="24"/>
      </w:rPr>
      <w:fldChar w:fldCharType="begin"/>
    </w:r>
    <w:r w:rsidRPr="00F22F64">
      <w:rPr>
        <w:color w:val="auto"/>
        <w:sz w:val="24"/>
        <w:szCs w:val="24"/>
      </w:rPr>
      <w:instrText>PAGE   \* MERGEFORMAT</w:instrText>
    </w:r>
    <w:r w:rsidRPr="00F22F64">
      <w:rPr>
        <w:color w:val="auto"/>
        <w:sz w:val="24"/>
        <w:szCs w:val="24"/>
      </w:rPr>
      <w:fldChar w:fldCharType="separate"/>
    </w:r>
    <w:r w:rsidR="00D25671">
      <w:rPr>
        <w:noProof/>
        <w:color w:val="auto"/>
        <w:sz w:val="24"/>
        <w:szCs w:val="24"/>
      </w:rPr>
      <w:t>2</w:t>
    </w:r>
    <w:r w:rsidRPr="00F22F64">
      <w:rPr>
        <w:color w:val="auto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38542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5671" w:rsidRPr="00D25671" w:rsidRDefault="00D25671">
        <w:pPr>
          <w:pStyle w:val="a6"/>
          <w:jc w:val="center"/>
          <w:rPr>
            <w:sz w:val="28"/>
            <w:szCs w:val="28"/>
          </w:rPr>
        </w:pPr>
        <w:r w:rsidRPr="00D25671">
          <w:rPr>
            <w:sz w:val="28"/>
            <w:szCs w:val="28"/>
          </w:rPr>
          <w:fldChar w:fldCharType="begin"/>
        </w:r>
        <w:r w:rsidRPr="00D25671">
          <w:rPr>
            <w:sz w:val="28"/>
            <w:szCs w:val="28"/>
          </w:rPr>
          <w:instrText>PAGE   \* MERGEFORMAT</w:instrText>
        </w:r>
        <w:r w:rsidRPr="00D25671">
          <w:rPr>
            <w:sz w:val="28"/>
            <w:szCs w:val="28"/>
          </w:rPr>
          <w:fldChar w:fldCharType="separate"/>
        </w:r>
        <w:r w:rsidR="003926F8">
          <w:rPr>
            <w:noProof/>
            <w:sz w:val="28"/>
            <w:szCs w:val="28"/>
          </w:rPr>
          <w:t>2</w:t>
        </w:r>
        <w:r w:rsidRPr="00D25671">
          <w:rPr>
            <w:sz w:val="28"/>
            <w:szCs w:val="28"/>
          </w:rPr>
          <w:fldChar w:fldCharType="end"/>
        </w:r>
      </w:p>
    </w:sdtContent>
  </w:sdt>
  <w:p w:rsidR="00D25671" w:rsidRDefault="00D256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82D32"/>
    <w:multiLevelType w:val="hybridMultilevel"/>
    <w:tmpl w:val="1778BB80"/>
    <w:lvl w:ilvl="0" w:tplc="CEE4850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574F35B0"/>
    <w:multiLevelType w:val="hybridMultilevel"/>
    <w:tmpl w:val="F3824BAA"/>
    <w:lvl w:ilvl="0" w:tplc="0B08A46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9F"/>
    <w:rsid w:val="000065BB"/>
    <w:rsid w:val="00012C24"/>
    <w:rsid w:val="00016801"/>
    <w:rsid w:val="0005516C"/>
    <w:rsid w:val="000762DF"/>
    <w:rsid w:val="00076CCD"/>
    <w:rsid w:val="0008767D"/>
    <w:rsid w:val="000922E5"/>
    <w:rsid w:val="0009334A"/>
    <w:rsid w:val="0009700A"/>
    <w:rsid w:val="000D7361"/>
    <w:rsid w:val="000E3FDF"/>
    <w:rsid w:val="001011DF"/>
    <w:rsid w:val="00107E7A"/>
    <w:rsid w:val="00135DC4"/>
    <w:rsid w:val="00143BF5"/>
    <w:rsid w:val="00150DC0"/>
    <w:rsid w:val="00154424"/>
    <w:rsid w:val="001572A0"/>
    <w:rsid w:val="00165570"/>
    <w:rsid w:val="00186CC6"/>
    <w:rsid w:val="001917B4"/>
    <w:rsid w:val="001A4DE8"/>
    <w:rsid w:val="001B0BF6"/>
    <w:rsid w:val="001D0ECB"/>
    <w:rsid w:val="001E7B18"/>
    <w:rsid w:val="0022488E"/>
    <w:rsid w:val="00224966"/>
    <w:rsid w:val="00227816"/>
    <w:rsid w:val="00232920"/>
    <w:rsid w:val="002622D7"/>
    <w:rsid w:val="002807B8"/>
    <w:rsid w:val="002A3572"/>
    <w:rsid w:val="002A6DC1"/>
    <w:rsid w:val="002B71F5"/>
    <w:rsid w:val="002B75D8"/>
    <w:rsid w:val="003065BB"/>
    <w:rsid w:val="0034569E"/>
    <w:rsid w:val="003471C0"/>
    <w:rsid w:val="00350989"/>
    <w:rsid w:val="003676AB"/>
    <w:rsid w:val="00376F50"/>
    <w:rsid w:val="003926F8"/>
    <w:rsid w:val="003C320A"/>
    <w:rsid w:val="0040159F"/>
    <w:rsid w:val="00401DEB"/>
    <w:rsid w:val="00422CDB"/>
    <w:rsid w:val="00431DAA"/>
    <w:rsid w:val="004355C5"/>
    <w:rsid w:val="004459C1"/>
    <w:rsid w:val="00484675"/>
    <w:rsid w:val="004A2BBA"/>
    <w:rsid w:val="004A381B"/>
    <w:rsid w:val="004A6DF2"/>
    <w:rsid w:val="004B23EE"/>
    <w:rsid w:val="004B5788"/>
    <w:rsid w:val="004C4E65"/>
    <w:rsid w:val="004F0959"/>
    <w:rsid w:val="005716C6"/>
    <w:rsid w:val="00571B85"/>
    <w:rsid w:val="00591CA4"/>
    <w:rsid w:val="005B3700"/>
    <w:rsid w:val="005E1C52"/>
    <w:rsid w:val="005E2158"/>
    <w:rsid w:val="005E686B"/>
    <w:rsid w:val="0061209E"/>
    <w:rsid w:val="00654997"/>
    <w:rsid w:val="006669FB"/>
    <w:rsid w:val="006A5E01"/>
    <w:rsid w:val="006B0545"/>
    <w:rsid w:val="006C05CD"/>
    <w:rsid w:val="007017D5"/>
    <w:rsid w:val="00720E95"/>
    <w:rsid w:val="00722557"/>
    <w:rsid w:val="00724C07"/>
    <w:rsid w:val="0075749E"/>
    <w:rsid w:val="007641BC"/>
    <w:rsid w:val="00766630"/>
    <w:rsid w:val="00775B8B"/>
    <w:rsid w:val="007A21CA"/>
    <w:rsid w:val="007B45D2"/>
    <w:rsid w:val="007C01F0"/>
    <w:rsid w:val="007C4282"/>
    <w:rsid w:val="007D098C"/>
    <w:rsid w:val="007D1AE9"/>
    <w:rsid w:val="007F569D"/>
    <w:rsid w:val="00801692"/>
    <w:rsid w:val="0080769B"/>
    <w:rsid w:val="00862D9C"/>
    <w:rsid w:val="00881377"/>
    <w:rsid w:val="00884110"/>
    <w:rsid w:val="0089079E"/>
    <w:rsid w:val="008A14EB"/>
    <w:rsid w:val="008C5839"/>
    <w:rsid w:val="008E479F"/>
    <w:rsid w:val="0091181F"/>
    <w:rsid w:val="009273D3"/>
    <w:rsid w:val="00936C01"/>
    <w:rsid w:val="009379B7"/>
    <w:rsid w:val="009422CD"/>
    <w:rsid w:val="00950471"/>
    <w:rsid w:val="00950A12"/>
    <w:rsid w:val="009525B5"/>
    <w:rsid w:val="00962863"/>
    <w:rsid w:val="00971307"/>
    <w:rsid w:val="00990666"/>
    <w:rsid w:val="00996CFF"/>
    <w:rsid w:val="009B5259"/>
    <w:rsid w:val="009F2396"/>
    <w:rsid w:val="00A02FAF"/>
    <w:rsid w:val="00A134CE"/>
    <w:rsid w:val="00A1393B"/>
    <w:rsid w:val="00A30DEC"/>
    <w:rsid w:val="00A61B0A"/>
    <w:rsid w:val="00A6206C"/>
    <w:rsid w:val="00AA45A7"/>
    <w:rsid w:val="00AC2639"/>
    <w:rsid w:val="00AC5F63"/>
    <w:rsid w:val="00AC7DAD"/>
    <w:rsid w:val="00AE26F2"/>
    <w:rsid w:val="00AE2C29"/>
    <w:rsid w:val="00B01468"/>
    <w:rsid w:val="00B0348D"/>
    <w:rsid w:val="00B07826"/>
    <w:rsid w:val="00B17216"/>
    <w:rsid w:val="00B52F9F"/>
    <w:rsid w:val="00B704E5"/>
    <w:rsid w:val="00B8690B"/>
    <w:rsid w:val="00B95526"/>
    <w:rsid w:val="00C03753"/>
    <w:rsid w:val="00C14491"/>
    <w:rsid w:val="00C23584"/>
    <w:rsid w:val="00C40ECE"/>
    <w:rsid w:val="00C463D9"/>
    <w:rsid w:val="00C60F2D"/>
    <w:rsid w:val="00C72D2F"/>
    <w:rsid w:val="00CA49D7"/>
    <w:rsid w:val="00CB24D6"/>
    <w:rsid w:val="00CD7E63"/>
    <w:rsid w:val="00D105E9"/>
    <w:rsid w:val="00D14690"/>
    <w:rsid w:val="00D14EA4"/>
    <w:rsid w:val="00D25671"/>
    <w:rsid w:val="00D33A05"/>
    <w:rsid w:val="00D5358F"/>
    <w:rsid w:val="00D56BB5"/>
    <w:rsid w:val="00D62522"/>
    <w:rsid w:val="00D63D6C"/>
    <w:rsid w:val="00D66D98"/>
    <w:rsid w:val="00D837C3"/>
    <w:rsid w:val="00D90762"/>
    <w:rsid w:val="00DA359E"/>
    <w:rsid w:val="00DA4F68"/>
    <w:rsid w:val="00DB1B98"/>
    <w:rsid w:val="00DB2F52"/>
    <w:rsid w:val="00DD6C3D"/>
    <w:rsid w:val="00DF4474"/>
    <w:rsid w:val="00DF6E52"/>
    <w:rsid w:val="00E008CE"/>
    <w:rsid w:val="00E132B3"/>
    <w:rsid w:val="00E168F3"/>
    <w:rsid w:val="00E27299"/>
    <w:rsid w:val="00E31655"/>
    <w:rsid w:val="00E525FB"/>
    <w:rsid w:val="00E52662"/>
    <w:rsid w:val="00E66133"/>
    <w:rsid w:val="00E7526C"/>
    <w:rsid w:val="00E85DC0"/>
    <w:rsid w:val="00E861DF"/>
    <w:rsid w:val="00E97A40"/>
    <w:rsid w:val="00EB6583"/>
    <w:rsid w:val="00EE15D0"/>
    <w:rsid w:val="00F22F64"/>
    <w:rsid w:val="00F5277B"/>
    <w:rsid w:val="00F733F3"/>
    <w:rsid w:val="00F90504"/>
    <w:rsid w:val="00FD2A69"/>
    <w:rsid w:val="00FE1FB1"/>
    <w:rsid w:val="00FE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CC8194-6B6D-4181-8AF6-7F0B125C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16"/>
    <w:rPr>
      <w:color w:val="000000"/>
    </w:rPr>
  </w:style>
  <w:style w:type="paragraph" w:styleId="1">
    <w:name w:val="heading 1"/>
    <w:basedOn w:val="a"/>
    <w:link w:val="10"/>
    <w:uiPriority w:val="9"/>
    <w:qFormat/>
    <w:rsid w:val="00AE2C2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5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styleId="a4">
    <w:name w:val="Followed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nsolas" w:eastAsia="Times New Roman" w:hAnsi="Consolas"/>
      <w:color w:val="000000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s8">
    <w:name w:val="s8"/>
    <w:basedOn w:val="a"/>
    <w:rPr>
      <w:i/>
      <w:iCs/>
      <w:color w:val="FF0000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3">
    <w:name w:val="s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">
    <w:name w:val="s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1">
    <w:name w:val="s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7">
    <w:name w:val="s7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">
    <w:name w:val="s9"/>
    <w:rPr>
      <w:rFonts w:ascii="Times New Roman" w:hAnsi="Times New Roman" w:cs="Times New Roman" w:hint="default"/>
      <w:b/>
      <w:bCs/>
      <w:i/>
      <w:iCs/>
      <w:color w:val="333399"/>
      <w:u w:val="single"/>
    </w:rPr>
  </w:style>
  <w:style w:type="character" w:customStyle="1" w:styleId="s10">
    <w:name w:val="s10"/>
    <w:rPr>
      <w:rFonts w:ascii="Times New Roman" w:hAnsi="Times New Roman" w:cs="Times New Roman" w:hint="default"/>
      <w:b/>
      <w:bCs/>
      <w:color w:val="333399"/>
      <w:u w:val="single"/>
    </w:rPr>
  </w:style>
  <w:style w:type="character" w:customStyle="1" w:styleId="s16">
    <w:name w:val="s16"/>
    <w:rPr>
      <w:rFonts w:ascii="Zan Courier New" w:hAnsi="Zan Courier New" w:hint="default"/>
      <w:b w:val="0"/>
      <w:bCs w:val="0"/>
      <w:i/>
      <w:iCs/>
      <w:caps w:val="0"/>
      <w:color w:val="000000"/>
    </w:rPr>
  </w:style>
  <w:style w:type="character" w:customStyle="1" w:styleId="s17">
    <w:name w:val="s17"/>
    <w:rPr>
      <w:rFonts w:ascii="Zan Courier New" w:hAnsi="Zan Courier New" w:hint="default"/>
      <w:b w:val="0"/>
      <w:bCs w:val="0"/>
      <w:color w:val="000000"/>
    </w:rPr>
  </w:style>
  <w:style w:type="character" w:customStyle="1" w:styleId="s18">
    <w:name w:val="s18"/>
    <w:rPr>
      <w:rFonts w:ascii="Zan Courier New" w:hAnsi="Zan Courier New" w:hint="default"/>
      <w:b w:val="0"/>
      <w:bCs w:val="0"/>
      <w:color w:val="000000"/>
    </w:rPr>
  </w:style>
  <w:style w:type="character" w:customStyle="1" w:styleId="s11">
    <w:name w:val="s1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rPr>
      <w:rFonts w:ascii="Courier New" w:hAnsi="Courier New" w:cs="Courier New" w:hint="default"/>
      <w:b/>
      <w:bCs/>
      <w:color w:val="333399"/>
      <w:u w:val="single"/>
    </w:rPr>
  </w:style>
  <w:style w:type="character" w:customStyle="1" w:styleId="s6">
    <w:name w:val="s6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110">
    <w:name w:val="s11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21">
    <w:name w:val="s2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31">
    <w:name w:val="s3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61">
    <w:name w:val="s61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75B8B"/>
    <w:rPr>
      <w:color w:val="000000"/>
    </w:rPr>
  </w:style>
  <w:style w:type="paragraph" w:styleId="a8">
    <w:name w:val="footer"/>
    <w:basedOn w:val="a"/>
    <w:link w:val="a9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75B8B"/>
    <w:rPr>
      <w:color w:val="000000"/>
    </w:rPr>
  </w:style>
  <w:style w:type="table" w:styleId="aa">
    <w:name w:val="Table Grid"/>
    <w:basedOn w:val="a1"/>
    <w:uiPriority w:val="39"/>
    <w:rsid w:val="0077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A49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A49D7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link w:val="1"/>
    <w:uiPriority w:val="9"/>
    <w:rsid w:val="00AE2C29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EB65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r">
    <w:name w:val="pr"/>
    <w:basedOn w:val="a"/>
    <w:rsid w:val="006B0545"/>
    <w:pPr>
      <w:jc w:val="right"/>
    </w:pPr>
    <w:rPr>
      <w:sz w:val="24"/>
      <w:szCs w:val="24"/>
    </w:rPr>
  </w:style>
  <w:style w:type="paragraph" w:styleId="ad">
    <w:name w:val="List Paragraph"/>
    <w:basedOn w:val="a"/>
    <w:uiPriority w:val="99"/>
    <w:qFormat/>
    <w:rsid w:val="006B0545"/>
    <w:pPr>
      <w:spacing w:after="200" w:line="276" w:lineRule="auto"/>
      <w:ind w:left="720"/>
      <w:contextualSpacing/>
    </w:pPr>
    <w:rPr>
      <w:color w:val="auto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</vt:lpstr>
    </vt:vector>
  </TitlesOfParts>
  <Company>Hewlett-Packard Company</Company>
  <LinksUpToDate>false</LinksUpToDate>
  <CharactersWithSpaces>1183</CharactersWithSpaces>
  <SharedDoc>false</SharedDoc>
  <HLinks>
    <vt:vector size="12" baseType="variant">
      <vt:variant>
        <vt:i4>7602229</vt:i4>
      </vt:variant>
      <vt:variant>
        <vt:i4>3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  <vt:variant>
        <vt:i4>7602229</vt:i4>
      </vt:variant>
      <vt:variant>
        <vt:i4>0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марта 2013 года № 80 «О внесении изменений в совместный приказ Министра энергетики и минеральных ресурсов Республики Казахстан от 1 декабря 2006 года № 318 и Председателя Агентства Республики Казахстан по регулированию естественных монополий от 29 ноября 2006 года № 276-ОД «Об утверждении перечня видов деятельности, технологически связанных с регулируемыми услугами (товарами, работами) в сферах электро- и теплоэнергетики»</dc:title>
  <dc:creator>Martynenko_A</dc:creator>
  <cp:lastModifiedBy>Айзада</cp:lastModifiedBy>
  <cp:revision>9</cp:revision>
  <cp:lastPrinted>2017-04-25T08:48:00Z</cp:lastPrinted>
  <dcterms:created xsi:type="dcterms:W3CDTF">2025-05-27T05:33:00Z</dcterms:created>
  <dcterms:modified xsi:type="dcterms:W3CDTF">2025-06-03T06:26:00Z</dcterms:modified>
</cp:coreProperties>
</file>